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2100C"/>
          <w:sz w:val="44"/>
          <w:szCs w:val="44"/>
        </w:rPr>
        <w:t xml:space="preserve">RESTAURANT BUSINESS PLAN — INDIA (2026)</w:t>
      </w:r>
    </w:p>
    <w:p>
      <w:pPr>
        <w:spacing w:after="240"/>
      </w:pPr>
      <w:r>
        <w:rPr>
          <w:color w:val="EA580C"/>
          <w:sz w:val="20"/>
          <w:szCs w:val="20"/>
        </w:rPr>
        <w:t xml:space="preserve">The 12-section template investors actually read · Free from CountStand · countstand.com/guides/restaurant-business-plan</w:t>
      </w:r>
    </w:p>
    <w:p>
      <w:pPr>
        <w:spacing w:after="120"/>
      </w:pPr>
      <w:r>
        <w:rPr>
          <w:i/>
          <w:iCs/>
          <w:color w:val="57534E"/>
          <w:sz w:val="22"/>
          <w:szCs w:val="22"/>
        </w:rPr>
        <w:t xml:space="preserve">How to use: fill every [bracket]. Lenders and investors read Section 4 (unit economics) first — do the numbers before the prose. The linked free calculators at countstand.com/tools compute the four numbers that matter.</w:t>
      </w:r>
    </w:p>
    <w:p>
      <w:pPr>
        <w:pStyle w:val="Heading1"/>
        <w:spacing w:after="160" w:before="360"/>
      </w:pPr>
      <w:r>
        <w:rPr>
          <w:color w:val="12100C"/>
        </w:rPr>
        <w:t xml:space="preserve">1 · Concept summary (half a page, written last)</w:t>
      </w:r>
    </w:p>
    <w:p>
      <w:pPr>
        <w:spacing w:after="120"/>
      </w:pPr>
      <w:r>
        <w:rPr>
          <w:i/>
          <w:iCs/>
          <w:color w:val="57534E"/>
          <w:sz w:val="22"/>
          <w:szCs w:val="22"/>
        </w:rPr>
        <w:t xml:space="preserve">[Fill in: Concept in two sentences — cuisine, format, price point, neighbourhood]</w:t>
      </w:r>
    </w:p>
    <w:p>
      <w:pPr>
        <w:spacing w:after="120"/>
      </w:pPr>
      <w:r>
        <w:rPr>
          <w:i/>
          <w:iCs/>
          <w:color w:val="57534E"/>
          <w:sz w:val="22"/>
          <w:szCs w:val="22"/>
        </w:rPr>
        <w:t xml:space="preserve">[Fill in: The one number that proves the opportunity]</w:t>
      </w:r>
    </w:p>
    <w:p>
      <w:pPr>
        <w:spacing w:after="120"/>
      </w:pPr>
      <w:r>
        <w:rPr>
          <w:i/>
          <w:iCs/>
          <w:color w:val="57534E"/>
          <w:sz w:val="22"/>
          <w:szCs w:val="22"/>
        </w:rPr>
        <w:t xml:space="preserve">[Fill in: Ask: how much you are raising/borrowing and what it buys]</w:t>
      </w:r>
    </w:p>
    <w:p>
      <w:pPr>
        <w:pStyle w:val="Heading1"/>
        <w:spacing w:after="160" w:before="360"/>
      </w:pPr>
      <w:r>
        <w:rPr>
          <w:color w:val="12100C"/>
        </w:rPr>
        <w:t xml:space="preserve">2 · Format &amp; positioning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5616"/>
      </w:tblGrid>
      <w:tr>
        <w:tc>
          <w:tcPr>
            <w:tcW w:type="dxa" w:w="3744"/>
            <w:shd w:fill="F6F4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2100C"/>
                <w:sz w:val="20"/>
                <w:szCs w:val="20"/>
              </w:rPr>
              <w:t xml:space="preserve">Field</w:t>
            </w:r>
          </w:p>
        </w:tc>
        <w:tc>
          <w:tcPr>
            <w:tcW w:type="dxa" w:w="3744"/>
            <w:shd w:fill="F6F4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2100C"/>
                <w:sz w:val="20"/>
                <w:szCs w:val="20"/>
              </w:rPr>
              <w:t xml:space="preserve">Your answer</w:t>
            </w:r>
          </w:p>
        </w:tc>
      </w:tr>
      <w:tr>
        <w:tc>
          <w:tcPr>
            <w:tcW w:type="dxa" w:w="3744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Format (QSR / café / casual dining / cloud kitchen / bar)</w:t>
            </w:r>
          </w:p>
        </w:tc>
        <w:tc>
          <w:tcPr>
            <w:tcW w:type="dxa" w:w="3744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744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Covers / kitchen capacity</w:t>
            </w:r>
          </w:p>
        </w:tc>
        <w:tc>
          <w:tcPr>
            <w:tcW w:type="dxa" w:w="3744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744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Average ticket target (₹)</w:t>
            </w:r>
          </w:p>
        </w:tc>
        <w:tc>
          <w:tcPr>
            <w:tcW w:type="dxa" w:w="3744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744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Dayparts served</w:t>
            </w:r>
          </w:p>
        </w:tc>
        <w:tc>
          <w:tcPr>
            <w:tcW w:type="dxa" w:w="3744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744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Direct competitors within 2 km</w:t>
            </w:r>
          </w:p>
        </w:tc>
        <w:tc>
          <w:tcPr>
            <w:tcW w:type="dxa" w:w="3744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744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Why you win that block</w:t>
            </w:r>
          </w:p>
        </w:tc>
        <w:tc>
          <w:tcPr>
            <w:tcW w:type="dxa" w:w="3744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60" w:before="360"/>
      </w:pPr>
      <w:r>
        <w:rPr>
          <w:color w:val="12100C"/>
        </w:rPr>
        <w:t xml:space="preserve">3 · Location &amp; lease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57534E"/>
          <w:sz w:val="22"/>
          <w:szCs w:val="22"/>
        </w:rPr>
        <w:t xml:space="preserve">Address / catchment and footfall logic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57534E"/>
          <w:sz w:val="22"/>
          <w:szCs w:val="22"/>
        </w:rPr>
        <w:t xml:space="preserve">Rent ₹/month · deposit (months) · escalation % · lock-in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57534E"/>
          <w:sz w:val="22"/>
          <w:szCs w:val="22"/>
        </w:rPr>
        <w:t xml:space="preserve">Rent as % of projected revenue (healthy: 10–15%)</w:t>
      </w:r>
    </w:p>
    <w:p>
      <w:pPr>
        <w:pStyle w:val="Heading1"/>
        <w:spacing w:after="160" w:before="360"/>
      </w:pPr>
      <w:r>
        <w:rPr>
          <w:color w:val="12100C"/>
        </w:rPr>
        <w:t xml:space="preserve">4 · Unit economics — THE PAGE THAT GETS READ FIRST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2340"/>
        <w:gridCol w:w="3900"/>
      </w:tblGrid>
      <w:tr>
        <w:tc>
          <w:tcPr>
            <w:tcW w:type="dxa" w:w="3120"/>
            <w:shd w:fill="F6F4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2100C"/>
                <w:sz w:val="20"/>
                <w:szCs w:val="20"/>
              </w:rPr>
              <w:t xml:space="preserve">The four numbers</w:t>
            </w:r>
          </w:p>
        </w:tc>
        <w:tc>
          <w:tcPr>
            <w:tcW w:type="dxa" w:w="3120"/>
            <w:shd w:fill="F6F4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2100C"/>
                <w:sz w:val="20"/>
                <w:szCs w:val="20"/>
              </w:rPr>
              <w:t xml:space="preserve">Your figure</w:t>
            </w:r>
          </w:p>
        </w:tc>
        <w:tc>
          <w:tcPr>
            <w:tcW w:type="dxa" w:w="3120"/>
            <w:shd w:fill="F6F4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2100C"/>
                <w:sz w:val="20"/>
                <w:szCs w:val="20"/>
              </w:rPr>
              <w:t xml:space="preserve">Healthy band / source</w:t>
            </w:r>
          </w:p>
        </w:tc>
      </w:tr>
      <w:tr>
        <w:tc>
          <w:tcPr>
            <w:tcW w:type="dxa" w:w="31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Startup cost, all-in (₹)</w:t>
            </w:r>
          </w:p>
        </w:tc>
        <w:tc>
          <w:tcPr>
            <w:tcW w:type="dxa" w:w="31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₹5L–₹1Cr+ by format — itemise in Section 5</w:t>
            </w:r>
          </w:p>
        </w:tc>
      </w:tr>
      <w:tr>
        <w:tc>
          <w:tcPr>
            <w:tcW w:type="dxa" w:w="31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Break-even covers/day</w:t>
            </w:r>
          </w:p>
        </w:tc>
        <w:tc>
          <w:tcPr>
            <w:tcW w:type="dxa" w:w="31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Compute: countstand.com/tools/restaurant-break-even-calculator</w:t>
            </w:r>
          </w:p>
        </w:tc>
      </w:tr>
      <w:tr>
        <w:tc>
          <w:tcPr>
            <w:tcW w:type="dxa" w:w="31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Food-cost % target</w:t>
            </w:r>
          </w:p>
        </w:tc>
        <w:tc>
          <w:tcPr>
            <w:tcW w:type="dxa" w:w="31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28–32% — countstand.com/tools/food-cost-calculator</w:t>
            </w:r>
          </w:p>
        </w:tc>
      </w:tr>
      <w:tr>
        <w:tc>
          <w:tcPr>
            <w:tcW w:type="dxa" w:w="31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Month-6 cash position (₹)</w:t>
            </w:r>
          </w:p>
        </w:tc>
        <w:tc>
          <w:tcPr>
            <w:tcW w:type="dxa" w:w="31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Must stay positive in the conservative case</w:t>
            </w:r>
          </w:p>
        </w:tc>
      </w:tr>
    </w:tbl>
    <w:p>
      <w:pPr>
        <w:pStyle w:val="Heading1"/>
        <w:spacing w:after="160" w:before="360"/>
      </w:pPr>
      <w:r>
        <w:rPr>
          <w:color w:val="12100C"/>
        </w:rPr>
        <w:t xml:space="preserve">5 · Startup costs, itemised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552"/>
        <w:gridCol w:w="2808"/>
      </w:tblGrid>
      <w:tr>
        <w:tc>
          <w:tcPr>
            <w:tcW w:type="dxa" w:w="6552"/>
            <w:shd w:fill="F6F4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2100C"/>
                <w:sz w:val="20"/>
                <w:szCs w:val="20"/>
              </w:rPr>
              <w:t xml:space="preserve">Line item</w:t>
            </w:r>
          </w:p>
        </w:tc>
        <w:tc>
          <w:tcPr>
            <w:tcW w:type="dxa" w:w="6552"/>
            <w:shd w:fill="F6F4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2100C"/>
                <w:sz w:val="20"/>
                <w:szCs w:val="20"/>
              </w:rPr>
              <w:t xml:space="preserve">₹ estimate</w:t>
            </w:r>
          </w:p>
        </w:tc>
      </w:tr>
      <w:tr>
        <w:tc>
          <w:tcPr>
            <w:tcW w:type="dxa" w:w="655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Deposit + advance rent</w:t>
            </w:r>
          </w:p>
        </w:tc>
        <w:tc>
          <w:tcPr>
            <w:tcW w:type="dxa" w:w="655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55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Fit-out &amp; furniture</w:t>
            </w:r>
          </w:p>
        </w:tc>
        <w:tc>
          <w:tcPr>
            <w:tcW w:type="dxa" w:w="655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55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Kitchen equipment</w:t>
            </w:r>
          </w:p>
        </w:tc>
        <w:tc>
          <w:tcPr>
            <w:tcW w:type="dxa" w:w="655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55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Licences &amp; professional fees (₹15–60k typical, ex-liquor)</w:t>
            </w:r>
          </w:p>
        </w:tc>
        <w:tc>
          <w:tcPr>
            <w:tcW w:type="dxa" w:w="655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55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POS/software &amp; printers</w:t>
            </w:r>
          </w:p>
        </w:tc>
        <w:tc>
          <w:tcPr>
            <w:tcW w:type="dxa" w:w="655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55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Opening inventory &amp; packaging</w:t>
            </w:r>
          </w:p>
        </w:tc>
        <w:tc>
          <w:tcPr>
            <w:tcW w:type="dxa" w:w="655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55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Branding, menu, photoshoot</w:t>
            </w:r>
          </w:p>
        </w:tc>
        <w:tc>
          <w:tcPr>
            <w:tcW w:type="dxa" w:w="655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55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Working capital (90 days — do not skip)</w:t>
            </w:r>
          </w:p>
        </w:tc>
        <w:tc>
          <w:tcPr>
            <w:tcW w:type="dxa" w:w="655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55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TOTAL</w:t>
            </w:r>
          </w:p>
        </w:tc>
        <w:tc>
          <w:tcPr>
            <w:tcW w:type="dxa" w:w="655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60" w:before="360"/>
      </w:pPr>
      <w:r>
        <w:rPr>
          <w:color w:val="12100C"/>
        </w:rPr>
        <w:t xml:space="preserve">6 · Licences &amp; compliance calendar</w:t>
      </w:r>
    </w:p>
    <w:p>
      <w:pPr>
        <w:spacing w:after="120"/>
      </w:pPr>
      <w:r>
        <w:rPr>
          <w:i w:val="false"/>
          <w:iCs w:val="false"/>
          <w:color w:val="57534E"/>
          <w:sz w:val="22"/>
          <w:szCs w:val="22"/>
        </w:rPr>
        <w:t xml:space="preserve">FSSAI · municipal trade/health licence · Shops &amp; Establishment · fire NOC · GST registration · (liquor, music, signage as applicable). Full table with issuers, fees and timelines: countstand.com/guides/restaurant-licenses-india</w:t>
      </w:r>
    </w:p>
    <w:p>
      <w:pPr>
        <w:spacing w:after="120"/>
      </w:pPr>
      <w:r>
        <w:rPr>
          <w:i/>
          <w:iCs/>
          <w:color w:val="57534E"/>
          <w:sz w:val="22"/>
          <w:szCs w:val="22"/>
        </w:rPr>
        <w:t xml:space="preserve">[Fill in: Which licences you need, filing date, expected grant date, renewal month]</w:t>
      </w:r>
    </w:p>
    <w:p>
      <w:pPr>
        <w:pStyle w:val="Heading1"/>
        <w:spacing w:after="160" w:before="360"/>
      </w:pPr>
      <w:r>
        <w:rPr>
          <w:color w:val="12100C"/>
        </w:rPr>
        <w:t xml:space="preserve">7 · Menu &amp; pricing strategy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57534E"/>
          <w:sz w:val="22"/>
          <w:szCs w:val="22"/>
        </w:rPr>
        <w:t xml:space="preserve">Menu size (smaller = tighter food cost) and hero dishes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57534E"/>
          <w:sz w:val="22"/>
          <w:szCs w:val="22"/>
        </w:rPr>
        <w:t xml:space="preserve">Per-dish costed? (yields included?) Target margins per category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57534E"/>
          <w:sz w:val="22"/>
          <w:szCs w:val="22"/>
        </w:rPr>
        <w:t xml:space="preserve">Delivery pricing: gross-up for 25–35% effective aggregator take</w:t>
      </w:r>
    </w:p>
    <w:p>
      <w:pPr>
        <w:pStyle w:val="Heading1"/>
        <w:spacing w:after="160" w:before="360"/>
      </w:pPr>
      <w:r>
        <w:rPr>
          <w:color w:val="12100C"/>
        </w:rPr>
        <w:t xml:space="preserve">8 · Revenue model &amp; projections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fill="F6F4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2100C"/>
                <w:sz w:val="20"/>
                <w:szCs w:val="20"/>
              </w:rPr>
              <w:t xml:space="preserve">Month</w:t>
            </w:r>
          </w:p>
        </w:tc>
        <w:tc>
          <w:tcPr>
            <w:tcW w:type="dxa" w:w="1872"/>
            <w:shd w:fill="F6F4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2100C"/>
                <w:sz w:val="20"/>
                <w:szCs w:val="20"/>
              </w:rPr>
              <w:t xml:space="preserve">Covers/day</w:t>
            </w:r>
          </w:p>
        </w:tc>
        <w:tc>
          <w:tcPr>
            <w:tcW w:type="dxa" w:w="1872"/>
            <w:shd w:fill="F6F4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2100C"/>
                <w:sz w:val="20"/>
                <w:szCs w:val="20"/>
              </w:rPr>
              <w:t xml:space="preserve">Avg ticket ₹</w:t>
            </w:r>
          </w:p>
        </w:tc>
        <w:tc>
          <w:tcPr>
            <w:tcW w:type="dxa" w:w="1872"/>
            <w:shd w:fill="F6F4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2100C"/>
                <w:sz w:val="20"/>
                <w:szCs w:val="20"/>
              </w:rPr>
              <w:t xml:space="preserve">Revenue ₹</w:t>
            </w:r>
          </w:p>
        </w:tc>
        <w:tc>
          <w:tcPr>
            <w:tcW w:type="dxa" w:w="1872"/>
            <w:shd w:fill="F6F4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2100C"/>
                <w:sz w:val="20"/>
                <w:szCs w:val="20"/>
              </w:rPr>
              <w:t xml:space="preserve">Net margin %</w:t>
            </w:r>
          </w:p>
        </w:tc>
      </w:tr>
      <w:tr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M1</w:t>
            </w:r>
          </w:p>
        </w:tc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M3</w:t>
            </w:r>
          </w:p>
        </w:tc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M6</w:t>
            </w:r>
          </w:p>
        </w:tc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M12</w:t>
            </w:r>
          </w:p>
        </w:tc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  <w:tc>
          <w:tcPr>
            <w:tcW w:type="dxa" w:w="1872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  <w:r>
        <w:rPr>
          <w:i/>
          <w:iCs/>
          <w:color w:val="57534E"/>
          <w:sz w:val="22"/>
          <w:szCs w:val="22"/>
        </w:rPr>
        <w:t xml:space="preserve">Base your covers on comparable venues, not hope. Net margin reality: well-run Indian restaurants land 8–15%.</w:t>
      </w:r>
    </w:p>
    <w:p>
      <w:pPr>
        <w:pStyle w:val="Heading1"/>
        <w:spacing w:after="160" w:before="360"/>
      </w:pPr>
      <w:r>
        <w:rPr>
          <w:color w:val="12100C"/>
        </w:rPr>
        <w:t xml:space="preserve">9 · Team &amp; salaries</w:t>
      </w:r>
    </w:p>
    <w:p>
      <w:pPr>
        <w:spacing w:after="120"/>
      </w:pPr>
      <w:r>
        <w:rPr>
          <w:i w:val="false"/>
          <w:iCs w:val="false"/>
          <w:color w:val="57534E"/>
          <w:sz w:val="22"/>
          <w:szCs w:val="22"/>
        </w:rPr>
        <w:t xml:space="preserve">Benchmark bands: countstand.com/guides/restaurant-staff-salary-india · staff cost target 18–25% of revenue.</w:t>
      </w:r>
    </w:p>
    <w:p>
      <w:pPr>
        <w:spacing w:after="120"/>
      </w:pPr>
      <w:r>
        <w:rPr>
          <w:i/>
          <w:iCs/>
          <w:color w:val="57534E"/>
          <w:sz w:val="22"/>
          <w:szCs w:val="22"/>
        </w:rPr>
        <w:t xml:space="preserve">[Fill in: Org chart, roles, salary/month each, hiring timeline]</w:t>
      </w:r>
    </w:p>
    <w:p>
      <w:pPr>
        <w:pStyle w:val="Heading1"/>
        <w:spacing w:after="160" w:before="360"/>
      </w:pPr>
      <w:r>
        <w:rPr>
          <w:color w:val="12100C"/>
        </w:rPr>
        <w:t xml:space="preserve">10 · Marketing &amp; customer acquisition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57534E"/>
          <w:sz w:val="22"/>
          <w:szCs w:val="22"/>
        </w:rPr>
        <w:t xml:space="preserve">Launch plan (first 30 days) and budget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57534E"/>
          <w:sz w:val="22"/>
          <w:szCs w:val="22"/>
        </w:rPr>
        <w:t xml:space="preserve">Aggregator strategy + direct-channel plan (WhatsApp/QR at 0% commission)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57534E"/>
          <w:sz w:val="22"/>
          <w:szCs w:val="22"/>
        </w:rPr>
        <w:t xml:space="preserve">Repeat-rate target and the CRM loop that achieves it</w:t>
      </w:r>
    </w:p>
    <w:p>
      <w:pPr>
        <w:pStyle w:val="Heading1"/>
        <w:spacing w:after="160" w:before="360"/>
      </w:pPr>
      <w:r>
        <w:rPr>
          <w:color w:val="12100C"/>
        </w:rPr>
        <w:t xml:space="preserve">11 · Operations &amp; systems</w:t>
      </w:r>
    </w:p>
    <w:p>
      <w:pPr>
        <w:spacing w:after="120"/>
      </w:pPr>
      <w:r>
        <w:rPr>
          <w:i w:val="false"/>
          <w:iCs w:val="false"/>
          <w:color w:val="57534E"/>
          <w:sz w:val="22"/>
          <w:szCs w:val="22"/>
        </w:rPr>
        <w:t xml:space="preserve">Billing, KOT/KDS, recipe inventory, GST filing, daily reporting — name the system and its monthly cost. (CountStand runs all of it from ₹999/month per outlet — 30-day free trial at countstand.com.)</w:t>
      </w:r>
    </w:p>
    <w:p>
      <w:pPr>
        <w:pStyle w:val="Heading1"/>
        <w:spacing w:after="160" w:before="360"/>
      </w:pPr>
      <w:r>
        <w:rPr>
          <w:color w:val="12100C"/>
        </w:rPr>
        <w:t xml:space="preserve">12 · Risks &amp; the honest case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shd w:fill="F6F4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2100C"/>
                <w:sz w:val="20"/>
                <w:szCs w:val="20"/>
              </w:rPr>
              <w:t xml:space="preserve">Risk</w:t>
            </w:r>
          </w:p>
        </w:tc>
        <w:tc>
          <w:tcPr>
            <w:tcW w:type="dxa" w:w="4680"/>
            <w:shd w:fill="F6F4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2100C"/>
                <w:sz w:val="20"/>
                <w:szCs w:val="20"/>
              </w:rPr>
              <w:t xml:space="preserve">Mitigation</w:t>
            </w:r>
          </w:p>
        </w:tc>
      </w:tr>
      <w:tr>
        <w:tc>
          <w:tcPr>
            <w:tcW w:type="dxa" w:w="46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Footfall 30% below plan</w:t>
            </w:r>
          </w:p>
        </w:tc>
        <w:tc>
          <w:tcPr>
            <w:tcW w:type="dxa" w:w="46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Food cost drifts above 32%</w:t>
            </w:r>
          </w:p>
        </w:tc>
        <w:tc>
          <w:tcPr>
            <w:tcW w:type="dxa" w:w="46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Key staff churn</w:t>
            </w:r>
          </w:p>
        </w:tc>
        <w:tc>
          <w:tcPr>
            <w:tcW w:type="dxa" w:w="46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Licence delay</w:t>
            </w:r>
          </w:p>
        </w:tc>
        <w:tc>
          <w:tcPr>
            <w:tcW w:type="dxa" w:w="46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>Aggregator commission rises</w:t>
            </w:r>
          </w:p>
        </w:tc>
        <w:tc>
          <w:tcPr>
            <w:tcW w:type="dxa" w:w="46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7534E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  <w:r>
        <w:rPr>
          <w:i/>
          <w:iCs/>
          <w:color w:val="57534E"/>
          <w:sz w:val="22"/>
          <w:szCs w:val="22"/>
        </w:rPr>
        <w:t xml:space="preserve">A plan with named risks reads as competence, not weakness.</w:t>
      </w:r>
    </w:p>
    <w:p>
      <w:pPr>
        <w:pBdr>
          <w:top w:val="single" w:color="EAE7E0" w:sz="4"/>
        </w:pBdr>
        <w:spacing w:before="400"/>
      </w:pPr>
      <w:r>
        <w:rPr>
          <w:color w:val="57534E"/>
          <w:sz w:val="18"/>
          <w:szCs w:val="18"/>
        </w:rPr>
        <w:t xml:space="preserve">Template © CountStand · free to use and share · numbers current July 2026 · the living guide lives at countstand.com/guides/restaurant-business-plan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2026-07-12T07:15:45.086Z</dcterms:created>
  <dcterms:modified xsi:type="dcterms:W3CDTF">2026-07-12T07:15:45.086Z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